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60B" w:rsidRPr="00186F01" w:rsidRDefault="00B4060B" w:rsidP="00B4060B">
      <w:pPr>
        <w:jc w:val="center"/>
        <w:rPr>
          <w:rFonts w:ascii="Arial" w:hAnsi="Arial" w:cs="Arial"/>
          <w:sz w:val="24"/>
          <w:szCs w:val="24"/>
        </w:rPr>
      </w:pPr>
      <w:r w:rsidRPr="00186F01">
        <w:rPr>
          <w:rFonts w:ascii="Arial" w:hAnsi="Arial" w:cs="Arial"/>
          <w:sz w:val="24"/>
          <w:szCs w:val="24"/>
        </w:rPr>
        <w:t>UNITED STATES BANKRUPTCY COURT</w:t>
      </w:r>
    </w:p>
    <w:p w:rsidR="00B4060B" w:rsidRDefault="00B4060B" w:rsidP="00B4060B">
      <w:pPr>
        <w:jc w:val="center"/>
        <w:rPr>
          <w:rFonts w:ascii="Arial" w:hAnsi="Arial" w:cs="Arial"/>
          <w:sz w:val="24"/>
          <w:szCs w:val="24"/>
        </w:rPr>
      </w:pPr>
      <w:r w:rsidRPr="00186F01">
        <w:rPr>
          <w:rFonts w:ascii="Arial" w:hAnsi="Arial" w:cs="Arial"/>
          <w:sz w:val="24"/>
          <w:szCs w:val="24"/>
        </w:rPr>
        <w:t>DISTRICT OF VERMONT</w:t>
      </w:r>
    </w:p>
    <w:p w:rsidR="00B4060B" w:rsidRPr="00186F01" w:rsidRDefault="00B4060B" w:rsidP="00B4060B">
      <w:pPr>
        <w:jc w:val="center"/>
        <w:rPr>
          <w:rFonts w:ascii="Arial" w:hAnsi="Arial" w:cs="Arial"/>
          <w:sz w:val="24"/>
          <w:szCs w:val="24"/>
        </w:rPr>
      </w:pPr>
    </w:p>
    <w:tbl>
      <w:tblPr>
        <w:tblW w:w="9360" w:type="dxa"/>
        <w:tblLayout w:type="fixed"/>
        <w:tblCellMar>
          <w:left w:w="0" w:type="dxa"/>
          <w:right w:w="0" w:type="dxa"/>
        </w:tblCellMar>
        <w:tblLook w:val="0000" w:firstRow="0" w:lastRow="0" w:firstColumn="0" w:lastColumn="0" w:noHBand="0" w:noVBand="0"/>
      </w:tblPr>
      <w:tblGrid>
        <w:gridCol w:w="4542"/>
        <w:gridCol w:w="276"/>
        <w:gridCol w:w="4542"/>
      </w:tblGrid>
      <w:tr w:rsidR="00B4060B" w:rsidRPr="00186F01" w:rsidTr="00CC25ED">
        <w:tc>
          <w:tcPr>
            <w:tcW w:w="4542" w:type="dxa"/>
            <w:tcBorders>
              <w:bottom w:val="single" w:sz="4" w:space="0" w:color="auto"/>
            </w:tcBorders>
            <w:shd w:val="clear" w:color="auto" w:fill="auto"/>
          </w:tcPr>
          <w:p w:rsidR="00B4060B" w:rsidRPr="00186F01" w:rsidRDefault="00B4060B" w:rsidP="00CC25ED">
            <w:pPr>
              <w:rPr>
                <w:rFonts w:ascii="Arial" w:hAnsi="Arial" w:cs="Arial"/>
                <w:sz w:val="24"/>
                <w:szCs w:val="24"/>
              </w:rPr>
            </w:pPr>
            <w:r w:rsidRPr="00186F01">
              <w:rPr>
                <w:rFonts w:ascii="Arial" w:hAnsi="Arial" w:cs="Arial"/>
                <w:sz w:val="24"/>
                <w:szCs w:val="24"/>
              </w:rPr>
              <w:t>In re:</w:t>
            </w:r>
          </w:p>
          <w:p w:rsidR="00B4060B" w:rsidRDefault="00B4060B" w:rsidP="00CC25ED">
            <w:pPr>
              <w:rPr>
                <w:rFonts w:ascii="Arial" w:hAnsi="Arial" w:cs="Arial"/>
                <w:sz w:val="24"/>
                <w:szCs w:val="24"/>
              </w:rPr>
            </w:pPr>
          </w:p>
          <w:p w:rsidR="00B4060B" w:rsidRPr="00186F01" w:rsidRDefault="00F84624" w:rsidP="00CC25ED">
            <w:pPr>
              <w:rPr>
                <w:rFonts w:ascii="Arial" w:hAnsi="Arial" w:cs="Arial"/>
                <w:sz w:val="24"/>
                <w:szCs w:val="24"/>
              </w:rPr>
            </w:pPr>
            <w:r>
              <w:rPr>
                <w:rFonts w:ascii="Arial" w:hAnsi="Arial" w:cs="Arial"/>
                <w:sz w:val="24"/>
                <w:szCs w:val="24"/>
              </w:rPr>
              <w:t xml:space="preserve"> </w:t>
            </w:r>
          </w:p>
          <w:p w:rsidR="00B4060B" w:rsidRDefault="00B4060B" w:rsidP="00CC25ED">
            <w:pPr>
              <w:rPr>
                <w:rFonts w:ascii="Arial" w:hAnsi="Arial" w:cs="Arial"/>
                <w:sz w:val="24"/>
                <w:szCs w:val="24"/>
              </w:rPr>
            </w:pPr>
            <w:r w:rsidRPr="00186F01">
              <w:rPr>
                <w:rFonts w:ascii="Arial" w:hAnsi="Arial" w:cs="Arial"/>
                <w:sz w:val="24"/>
                <w:szCs w:val="24"/>
              </w:rPr>
              <w:tab/>
            </w:r>
            <w:r w:rsidRPr="00186F01">
              <w:rPr>
                <w:rFonts w:ascii="Arial" w:hAnsi="Arial" w:cs="Arial"/>
                <w:sz w:val="24"/>
                <w:szCs w:val="24"/>
              </w:rPr>
              <w:tab/>
            </w:r>
          </w:p>
          <w:p w:rsidR="00B4060B" w:rsidRPr="00186F01" w:rsidRDefault="00B4060B" w:rsidP="00CC25ED">
            <w:pPr>
              <w:rPr>
                <w:rFonts w:ascii="Arial" w:hAnsi="Arial" w:cs="Arial"/>
                <w:sz w:val="24"/>
                <w:szCs w:val="24"/>
              </w:rPr>
            </w:pPr>
            <w:r>
              <w:rPr>
                <w:rFonts w:ascii="Arial" w:hAnsi="Arial" w:cs="Arial"/>
                <w:sz w:val="24"/>
                <w:szCs w:val="24"/>
              </w:rPr>
              <w:t xml:space="preserve">                                 </w:t>
            </w:r>
            <w:r w:rsidRPr="00186F01">
              <w:rPr>
                <w:rFonts w:ascii="Arial" w:hAnsi="Arial" w:cs="Arial"/>
                <w:sz w:val="24"/>
                <w:szCs w:val="24"/>
              </w:rPr>
              <w:t>Debtor.</w:t>
            </w:r>
          </w:p>
        </w:tc>
        <w:tc>
          <w:tcPr>
            <w:tcW w:w="276" w:type="dxa"/>
            <w:shd w:val="clear" w:color="auto" w:fill="auto"/>
          </w:tcPr>
          <w:p w:rsidR="00B4060B" w:rsidRPr="00186F01" w:rsidRDefault="00B4060B" w:rsidP="00CC25ED">
            <w:pPr>
              <w:pStyle w:val="SingleSpacing"/>
              <w:rPr>
                <w:rFonts w:ascii="Arial" w:hAnsi="Arial" w:cs="Arial"/>
                <w:sz w:val="24"/>
                <w:szCs w:val="24"/>
              </w:rPr>
            </w:pPr>
            <w:r w:rsidRPr="00186F01">
              <w:rPr>
                <w:rFonts w:ascii="Arial" w:hAnsi="Arial" w:cs="Arial"/>
                <w:sz w:val="24"/>
                <w:szCs w:val="24"/>
              </w:rPr>
              <w:t>)</w:t>
            </w:r>
          </w:p>
          <w:p w:rsidR="00B4060B" w:rsidRPr="00186F01" w:rsidRDefault="00B4060B" w:rsidP="00CC25ED">
            <w:pPr>
              <w:pStyle w:val="SingleSpacing"/>
              <w:rPr>
                <w:rFonts w:ascii="Arial" w:hAnsi="Arial" w:cs="Arial"/>
                <w:sz w:val="24"/>
                <w:szCs w:val="24"/>
              </w:rPr>
            </w:pPr>
            <w:r w:rsidRPr="00186F01">
              <w:rPr>
                <w:rFonts w:ascii="Arial" w:hAnsi="Arial" w:cs="Arial"/>
                <w:sz w:val="24"/>
                <w:szCs w:val="24"/>
              </w:rPr>
              <w:t>)</w:t>
            </w:r>
          </w:p>
          <w:p w:rsidR="00B4060B" w:rsidRPr="00186F01" w:rsidRDefault="00B4060B" w:rsidP="00CC25ED">
            <w:pPr>
              <w:pStyle w:val="SingleSpacing"/>
              <w:rPr>
                <w:rFonts w:ascii="Arial" w:hAnsi="Arial" w:cs="Arial"/>
                <w:sz w:val="24"/>
                <w:szCs w:val="24"/>
              </w:rPr>
            </w:pPr>
            <w:r w:rsidRPr="00186F01">
              <w:rPr>
                <w:rFonts w:ascii="Arial" w:hAnsi="Arial" w:cs="Arial"/>
                <w:sz w:val="24"/>
                <w:szCs w:val="24"/>
              </w:rPr>
              <w:t>)</w:t>
            </w:r>
          </w:p>
          <w:p w:rsidR="00B4060B" w:rsidRPr="00186F01" w:rsidRDefault="00B4060B" w:rsidP="00CC25ED">
            <w:pPr>
              <w:pStyle w:val="SingleSpacing"/>
              <w:rPr>
                <w:rFonts w:ascii="Arial" w:hAnsi="Arial" w:cs="Arial"/>
                <w:sz w:val="24"/>
                <w:szCs w:val="24"/>
              </w:rPr>
            </w:pPr>
            <w:r w:rsidRPr="00186F01">
              <w:rPr>
                <w:rFonts w:ascii="Arial" w:hAnsi="Arial" w:cs="Arial"/>
                <w:sz w:val="24"/>
                <w:szCs w:val="24"/>
              </w:rPr>
              <w:t>)</w:t>
            </w:r>
          </w:p>
          <w:p w:rsidR="00B4060B" w:rsidRPr="00186F01" w:rsidRDefault="00B4060B" w:rsidP="00CC25ED">
            <w:pPr>
              <w:pStyle w:val="SingleSpacing"/>
              <w:rPr>
                <w:rFonts w:ascii="Arial" w:hAnsi="Arial" w:cs="Arial"/>
                <w:sz w:val="24"/>
                <w:szCs w:val="24"/>
              </w:rPr>
            </w:pPr>
            <w:r w:rsidRPr="00186F01">
              <w:rPr>
                <w:rFonts w:ascii="Arial" w:hAnsi="Arial" w:cs="Arial"/>
                <w:sz w:val="24"/>
                <w:szCs w:val="24"/>
              </w:rPr>
              <w:t>)</w:t>
            </w:r>
          </w:p>
          <w:p w:rsidR="00B4060B" w:rsidRPr="00186F01" w:rsidRDefault="00B4060B" w:rsidP="00CC25ED">
            <w:pPr>
              <w:pStyle w:val="SingleSpacing"/>
              <w:rPr>
                <w:rFonts w:ascii="Arial" w:hAnsi="Arial" w:cs="Arial"/>
                <w:sz w:val="24"/>
                <w:szCs w:val="24"/>
              </w:rPr>
            </w:pPr>
            <w:r w:rsidRPr="00186F01">
              <w:rPr>
                <w:rFonts w:ascii="Arial" w:hAnsi="Arial" w:cs="Arial"/>
                <w:sz w:val="24"/>
                <w:szCs w:val="24"/>
              </w:rPr>
              <w:t>)</w:t>
            </w:r>
          </w:p>
          <w:p w:rsidR="00B4060B" w:rsidRPr="00186F01" w:rsidRDefault="00B4060B" w:rsidP="00CC25ED">
            <w:pPr>
              <w:pStyle w:val="SingleSpacing"/>
              <w:rPr>
                <w:rFonts w:ascii="Arial" w:hAnsi="Arial" w:cs="Arial"/>
                <w:sz w:val="24"/>
                <w:szCs w:val="24"/>
              </w:rPr>
            </w:pPr>
            <w:r w:rsidRPr="00186F01">
              <w:rPr>
                <w:rFonts w:ascii="Arial" w:hAnsi="Arial" w:cs="Arial"/>
                <w:sz w:val="24"/>
                <w:szCs w:val="24"/>
              </w:rPr>
              <w:t>)</w:t>
            </w:r>
          </w:p>
          <w:p w:rsidR="00B4060B" w:rsidRPr="00186F01" w:rsidRDefault="00B4060B" w:rsidP="00CC25ED">
            <w:pPr>
              <w:pStyle w:val="SingleSpacing"/>
              <w:rPr>
                <w:rFonts w:ascii="Arial" w:hAnsi="Arial" w:cs="Arial"/>
                <w:sz w:val="24"/>
                <w:szCs w:val="24"/>
              </w:rPr>
            </w:pPr>
            <w:r w:rsidRPr="00186F01">
              <w:rPr>
                <w:rFonts w:ascii="Arial" w:hAnsi="Arial" w:cs="Arial"/>
                <w:sz w:val="24"/>
                <w:szCs w:val="24"/>
              </w:rPr>
              <w:t>)</w:t>
            </w:r>
          </w:p>
        </w:tc>
        <w:tc>
          <w:tcPr>
            <w:tcW w:w="4542" w:type="dxa"/>
            <w:shd w:val="clear" w:color="auto" w:fill="auto"/>
          </w:tcPr>
          <w:p w:rsidR="00B4060B" w:rsidRPr="00186F01" w:rsidRDefault="00B4060B" w:rsidP="00CC25ED">
            <w:pPr>
              <w:pStyle w:val="SingleSpacing"/>
              <w:rPr>
                <w:rFonts w:ascii="Arial" w:hAnsi="Arial" w:cs="Arial"/>
                <w:sz w:val="24"/>
                <w:szCs w:val="24"/>
              </w:rPr>
            </w:pPr>
            <w:r w:rsidRPr="00186F01">
              <w:rPr>
                <w:rFonts w:ascii="Arial" w:hAnsi="Arial" w:cs="Arial"/>
                <w:sz w:val="24"/>
                <w:szCs w:val="24"/>
              </w:rPr>
              <w:t xml:space="preserve">Case No.: </w:t>
            </w:r>
            <w:r w:rsidR="00F84624">
              <w:rPr>
                <w:rFonts w:ascii="Arial" w:hAnsi="Arial" w:cs="Arial"/>
                <w:sz w:val="24"/>
                <w:szCs w:val="24"/>
              </w:rPr>
              <w:t xml:space="preserve"> </w:t>
            </w:r>
          </w:p>
          <w:p w:rsidR="00B4060B" w:rsidRPr="00186F01" w:rsidRDefault="00B4060B" w:rsidP="00CC25ED">
            <w:pPr>
              <w:pStyle w:val="SingleSpacing"/>
              <w:rPr>
                <w:rFonts w:ascii="Arial" w:hAnsi="Arial" w:cs="Arial"/>
                <w:sz w:val="24"/>
                <w:szCs w:val="24"/>
              </w:rPr>
            </w:pPr>
          </w:p>
          <w:p w:rsidR="00B4060B" w:rsidRPr="00186F01" w:rsidRDefault="00B4060B" w:rsidP="00CC25ED">
            <w:pPr>
              <w:pStyle w:val="SingleSpacing"/>
              <w:rPr>
                <w:rFonts w:ascii="Arial" w:hAnsi="Arial" w:cs="Arial"/>
                <w:sz w:val="24"/>
                <w:szCs w:val="24"/>
              </w:rPr>
            </w:pPr>
            <w:r w:rsidRPr="00186F01">
              <w:rPr>
                <w:rFonts w:ascii="Arial" w:hAnsi="Arial" w:cs="Arial"/>
                <w:sz w:val="24"/>
                <w:szCs w:val="24"/>
              </w:rPr>
              <w:t xml:space="preserve"> Chapter 13</w:t>
            </w:r>
          </w:p>
        </w:tc>
      </w:tr>
    </w:tbl>
    <w:p w:rsidR="00B4060B" w:rsidRDefault="00B4060B" w:rsidP="00B4060B">
      <w:pPr>
        <w:ind w:left="1440" w:firstLine="720"/>
        <w:rPr>
          <w:rFonts w:ascii="Arial" w:hAnsi="Arial" w:cs="Arial"/>
          <w:b/>
          <w:bCs/>
          <w:sz w:val="24"/>
          <w:szCs w:val="24"/>
        </w:rPr>
      </w:pPr>
      <w:r>
        <w:rPr>
          <w:rFonts w:ascii="Arial" w:hAnsi="Arial" w:cs="Arial"/>
          <w:b/>
          <w:bCs/>
          <w:sz w:val="24"/>
          <w:szCs w:val="24"/>
        </w:rPr>
        <w:t xml:space="preserve">       </w:t>
      </w:r>
      <w:r>
        <w:rPr>
          <w:rFonts w:ascii="Arial" w:hAnsi="Arial" w:cs="Arial"/>
          <w:b/>
          <w:bCs/>
          <w:sz w:val="24"/>
          <w:szCs w:val="24"/>
        </w:rPr>
        <w:tab/>
      </w:r>
      <w:r>
        <w:rPr>
          <w:rFonts w:ascii="Arial" w:hAnsi="Arial" w:cs="Arial"/>
          <w:b/>
          <w:bCs/>
          <w:sz w:val="24"/>
          <w:szCs w:val="24"/>
        </w:rPr>
        <w:tab/>
      </w:r>
    </w:p>
    <w:p w:rsidR="00B4060B" w:rsidRPr="00B4060B" w:rsidRDefault="00B4060B" w:rsidP="00B4060B">
      <w:pPr>
        <w:jc w:val="center"/>
        <w:rPr>
          <w:rFonts w:ascii="Arial" w:hAnsi="Arial" w:cs="Arial"/>
          <w:b/>
          <w:bCs/>
          <w:sz w:val="24"/>
          <w:szCs w:val="24"/>
        </w:rPr>
      </w:pPr>
      <w:r w:rsidRPr="00B4060B">
        <w:rPr>
          <w:rFonts w:ascii="Arial" w:hAnsi="Arial" w:cs="Arial"/>
          <w:b/>
          <w:bCs/>
          <w:sz w:val="24"/>
          <w:szCs w:val="24"/>
        </w:rPr>
        <w:t>CONDITIONAL ORDER OF DISMISSAL</w:t>
      </w:r>
    </w:p>
    <w:p w:rsidR="00B4060B" w:rsidRPr="00B4060B" w:rsidRDefault="00B4060B" w:rsidP="00B4060B">
      <w:pPr>
        <w:rPr>
          <w:rFonts w:ascii="Arial" w:hAnsi="Arial" w:cs="Arial"/>
          <w:b/>
          <w:bCs/>
          <w:sz w:val="24"/>
          <w:szCs w:val="24"/>
        </w:rPr>
      </w:pPr>
    </w:p>
    <w:p w:rsidR="00B4060B" w:rsidRPr="00B4060B" w:rsidRDefault="00B4060B" w:rsidP="00B4060B">
      <w:pPr>
        <w:rPr>
          <w:rFonts w:ascii="Arial" w:hAnsi="Arial" w:cs="Arial"/>
          <w:sz w:val="24"/>
          <w:szCs w:val="24"/>
        </w:rPr>
      </w:pPr>
    </w:p>
    <w:p w:rsidR="00B4060B" w:rsidRPr="00B4060B" w:rsidRDefault="00B4060B" w:rsidP="00B4060B">
      <w:pPr>
        <w:spacing w:line="480" w:lineRule="auto"/>
        <w:rPr>
          <w:rFonts w:ascii="Arial" w:hAnsi="Arial" w:cs="Arial"/>
          <w:sz w:val="24"/>
          <w:szCs w:val="24"/>
        </w:rPr>
      </w:pPr>
      <w:r w:rsidRPr="00B4060B">
        <w:rPr>
          <w:rFonts w:ascii="Arial" w:hAnsi="Arial" w:cs="Arial"/>
          <w:sz w:val="24"/>
          <w:szCs w:val="24"/>
        </w:rPr>
        <w:tab/>
        <w:t>The Chapter 13 Trustee has filed a motion to dismiss this case pursuant to 11 U.S.C. § 1307(c), alleging that the debtor</w:t>
      </w:r>
      <w:r>
        <w:rPr>
          <w:rFonts w:ascii="Arial" w:hAnsi="Arial" w:cs="Arial"/>
          <w:sz w:val="24"/>
          <w:szCs w:val="24"/>
        </w:rPr>
        <w:t>s have</w:t>
      </w:r>
      <w:r w:rsidRPr="00B4060B">
        <w:rPr>
          <w:rFonts w:ascii="Arial" w:hAnsi="Arial" w:cs="Arial"/>
          <w:sz w:val="24"/>
          <w:szCs w:val="24"/>
        </w:rPr>
        <w:t xml:space="preserve"> failed to make all of the payments due under the Chapter 13 Plan.</w:t>
      </w:r>
    </w:p>
    <w:p w:rsidR="00B4060B" w:rsidRPr="00B4060B" w:rsidRDefault="00B4060B" w:rsidP="00B4060B">
      <w:pPr>
        <w:spacing w:line="480" w:lineRule="auto"/>
        <w:rPr>
          <w:rFonts w:ascii="Arial" w:hAnsi="Arial" w:cs="Arial"/>
          <w:sz w:val="24"/>
          <w:szCs w:val="24"/>
        </w:rPr>
      </w:pPr>
      <w:r w:rsidRPr="00B4060B">
        <w:rPr>
          <w:rFonts w:ascii="Arial" w:hAnsi="Arial" w:cs="Arial"/>
          <w:sz w:val="24"/>
          <w:szCs w:val="24"/>
        </w:rPr>
        <w:tab/>
        <w:t>The Chapter 13 Trustee and the debtors have agreed that th</w:t>
      </w:r>
      <w:r>
        <w:rPr>
          <w:rFonts w:ascii="Arial" w:hAnsi="Arial" w:cs="Arial"/>
          <w:sz w:val="24"/>
          <w:szCs w:val="24"/>
        </w:rPr>
        <w:t>e debtors shall cure the arrearage</w:t>
      </w:r>
      <w:r w:rsidRPr="00B4060B">
        <w:rPr>
          <w:rFonts w:ascii="Arial" w:hAnsi="Arial" w:cs="Arial"/>
          <w:sz w:val="24"/>
          <w:szCs w:val="24"/>
        </w:rPr>
        <w:t xml:space="preserve"> under the following schedule:</w:t>
      </w:r>
    </w:p>
    <w:p w:rsidR="00B4060B" w:rsidRDefault="00F84624" w:rsidP="00B4060B">
      <w:pPr>
        <w:spacing w:line="480" w:lineRule="auto"/>
        <w:jc w:val="center"/>
        <w:rPr>
          <w:rFonts w:ascii="Arial" w:hAnsi="Arial" w:cs="Arial"/>
          <w:sz w:val="24"/>
          <w:szCs w:val="24"/>
        </w:rPr>
      </w:pPr>
      <w:r>
        <w:rPr>
          <w:rFonts w:ascii="Arial" w:hAnsi="Arial" w:cs="Arial"/>
          <w:color w:val="FF0000"/>
          <w:sz w:val="24"/>
          <w:szCs w:val="24"/>
        </w:rPr>
        <w:t>[</w:t>
      </w:r>
      <w:proofErr w:type="gramStart"/>
      <w:r>
        <w:rPr>
          <w:rFonts w:ascii="Arial" w:hAnsi="Arial" w:cs="Arial"/>
          <w:color w:val="FF0000"/>
          <w:sz w:val="24"/>
          <w:szCs w:val="24"/>
        </w:rPr>
        <w:t>insert</w:t>
      </w:r>
      <w:proofErr w:type="gramEnd"/>
      <w:r>
        <w:rPr>
          <w:rFonts w:ascii="Arial" w:hAnsi="Arial" w:cs="Arial"/>
          <w:color w:val="FF0000"/>
          <w:sz w:val="24"/>
          <w:szCs w:val="24"/>
        </w:rPr>
        <w:t xml:space="preserve"> terms here]</w:t>
      </w:r>
      <w:r>
        <w:rPr>
          <w:rFonts w:ascii="Arial" w:hAnsi="Arial" w:cs="Arial"/>
          <w:sz w:val="24"/>
          <w:szCs w:val="24"/>
        </w:rPr>
        <w:t xml:space="preserve"> </w:t>
      </w:r>
    </w:p>
    <w:p w:rsidR="00F84624" w:rsidRDefault="007A152A" w:rsidP="007A152A">
      <w:pPr>
        <w:spacing w:line="480" w:lineRule="auto"/>
        <w:rPr>
          <w:rFonts w:ascii="Arial" w:hAnsi="Arial" w:cs="Arial"/>
          <w:sz w:val="24"/>
          <w:szCs w:val="24"/>
        </w:rPr>
      </w:pPr>
      <w:r>
        <w:rPr>
          <w:rFonts w:ascii="Arial" w:hAnsi="Arial" w:cs="Arial"/>
          <w:sz w:val="24"/>
          <w:szCs w:val="24"/>
        </w:rPr>
        <w:t>The debtors shall make all regular plan payments as they come due while curing the arrearage.</w:t>
      </w:r>
      <w:bookmarkStart w:id="0" w:name="_GoBack"/>
      <w:bookmarkEnd w:id="0"/>
    </w:p>
    <w:p w:rsidR="00B4060B" w:rsidRPr="00B4060B" w:rsidRDefault="00B4060B" w:rsidP="00B4060B">
      <w:pPr>
        <w:spacing w:line="480" w:lineRule="auto"/>
        <w:ind w:firstLine="720"/>
        <w:rPr>
          <w:rFonts w:ascii="Arial" w:hAnsi="Arial" w:cs="Arial"/>
          <w:sz w:val="24"/>
          <w:szCs w:val="24"/>
        </w:rPr>
      </w:pPr>
      <w:r w:rsidRPr="00B4060B">
        <w:rPr>
          <w:rFonts w:ascii="Arial" w:hAnsi="Arial" w:cs="Arial"/>
          <w:sz w:val="24"/>
          <w:szCs w:val="24"/>
        </w:rPr>
        <w:t>If the debtors fail to make the payments as outlined above, the Plan has not been modified and the case has not been converted to a case under Chapter 7, the trustee shall submit an affidavit to that effect and unless the representations of that affidavit are disputed by debtor within 10 days of service of the affidavit, the case shall be dismissed without further hearing.</w:t>
      </w:r>
    </w:p>
    <w:p w:rsidR="00B4060B" w:rsidRPr="00B4060B" w:rsidRDefault="00B4060B" w:rsidP="00B4060B">
      <w:pPr>
        <w:spacing w:line="480" w:lineRule="auto"/>
        <w:rPr>
          <w:rFonts w:ascii="Arial" w:hAnsi="Arial" w:cs="Arial"/>
          <w:sz w:val="24"/>
          <w:szCs w:val="24"/>
        </w:rPr>
      </w:pPr>
      <w:r w:rsidRPr="00B4060B">
        <w:rPr>
          <w:rFonts w:ascii="Arial" w:hAnsi="Arial" w:cs="Arial"/>
          <w:sz w:val="24"/>
          <w:szCs w:val="24"/>
        </w:rPr>
        <w:t xml:space="preserve"> </w:t>
      </w:r>
      <w:r w:rsidRPr="00B4060B">
        <w:rPr>
          <w:rFonts w:ascii="Arial" w:hAnsi="Arial" w:cs="Arial"/>
          <w:sz w:val="24"/>
          <w:szCs w:val="24"/>
        </w:rPr>
        <w:tab/>
        <w:t>Dated:</w:t>
      </w:r>
    </w:p>
    <w:p w:rsidR="00B4060B" w:rsidRPr="00B4060B" w:rsidRDefault="00B4060B" w:rsidP="00B4060B">
      <w:pPr>
        <w:rPr>
          <w:rFonts w:ascii="Arial" w:hAnsi="Arial" w:cs="Arial"/>
          <w:sz w:val="24"/>
          <w:szCs w:val="24"/>
        </w:rPr>
      </w:pPr>
    </w:p>
    <w:p w:rsidR="00B4060B" w:rsidRDefault="00B4060B" w:rsidP="00B4060B">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________________________________</w:t>
      </w:r>
    </w:p>
    <w:p w:rsidR="00B4060B" w:rsidRDefault="00B4060B" w:rsidP="00B4060B">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HON. COLLEEN A. BROWN</w:t>
      </w:r>
    </w:p>
    <w:p w:rsidR="00B4060B" w:rsidRDefault="00B4060B" w:rsidP="00B4060B">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U. S. BANKRUPTCY JUDGE</w:t>
      </w:r>
    </w:p>
    <w:p w:rsidR="00B4060B" w:rsidRDefault="00B4060B" w:rsidP="00B4060B">
      <w:pPr>
        <w:rPr>
          <w:rFonts w:ascii="Arial" w:hAnsi="Arial" w:cs="Arial"/>
          <w:sz w:val="24"/>
          <w:szCs w:val="24"/>
        </w:rPr>
      </w:pPr>
    </w:p>
    <w:p w:rsidR="00B4060B" w:rsidRDefault="00B4060B" w:rsidP="00B4060B">
      <w:pPr>
        <w:rPr>
          <w:rFonts w:ascii="Arial" w:hAnsi="Arial" w:cs="Arial"/>
          <w:sz w:val="24"/>
          <w:szCs w:val="24"/>
        </w:rPr>
      </w:pPr>
    </w:p>
    <w:p w:rsidR="00B4060B" w:rsidRDefault="00B4060B" w:rsidP="00B4060B">
      <w:pPr>
        <w:rPr>
          <w:rFonts w:ascii="Arial" w:hAnsi="Arial" w:cs="Arial"/>
          <w:sz w:val="24"/>
          <w:szCs w:val="24"/>
        </w:rPr>
      </w:pPr>
    </w:p>
    <w:p w:rsidR="00B4060B" w:rsidRDefault="00B4060B" w:rsidP="00B4060B">
      <w:pPr>
        <w:rPr>
          <w:rFonts w:ascii="Arial" w:hAnsi="Arial" w:cs="Arial"/>
          <w:sz w:val="24"/>
          <w:szCs w:val="24"/>
        </w:rPr>
      </w:pPr>
    </w:p>
    <w:p w:rsidR="00B4060B" w:rsidRDefault="00B4060B" w:rsidP="00B4060B">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p>
    <w:p w:rsidR="00B4060B" w:rsidRDefault="00B4060B" w:rsidP="00B4060B"/>
    <w:p w:rsidR="0026744E" w:rsidRDefault="0026744E"/>
    <w:sectPr w:rsidR="0026744E" w:rsidSect="00B4060B">
      <w:pgSz w:w="12240" w:h="15840"/>
      <w:pgMar w:top="810" w:right="1440" w:bottom="36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60B"/>
    <w:rsid w:val="0026744E"/>
    <w:rsid w:val="007A152A"/>
    <w:rsid w:val="00B4060B"/>
    <w:rsid w:val="00F84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60B"/>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rsid w:val="00B4060B"/>
    <w:pPr>
      <w:autoSpaceDE/>
      <w:autoSpaceDN/>
      <w:adjustRightInd/>
      <w:spacing w:line="254" w:lineRule="exac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60B"/>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rsid w:val="00B4060B"/>
    <w:pPr>
      <w:autoSpaceDE/>
      <w:autoSpaceDN/>
      <w:adjustRightInd/>
      <w:spacing w:line="254"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Kainen</dc:creator>
  <cp:lastModifiedBy>Michelle Kainen HP</cp:lastModifiedBy>
  <cp:revision>3</cp:revision>
  <dcterms:created xsi:type="dcterms:W3CDTF">2016-12-01T04:34:00Z</dcterms:created>
  <dcterms:modified xsi:type="dcterms:W3CDTF">2016-12-01T04:42:00Z</dcterms:modified>
</cp:coreProperties>
</file>